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5588" w:type="dxa"/>
        <w:tblLook w:val="0000" w:firstRow="0" w:lastRow="0" w:firstColumn="0" w:lastColumn="0" w:noHBand="0" w:noVBand="0"/>
      </w:tblPr>
      <w:tblGrid>
        <w:gridCol w:w="5148"/>
        <w:gridCol w:w="5220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r/>
            <w:r/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</w:pPr>
            <w:r>
              <w:t xml:space="preserve">Начальник управления эксплуатации и </w:t>
            </w:r>
            <w:r>
              <w:t xml:space="preserve">ТОиР</w:t>
            </w:r>
            <w:r/>
          </w:p>
          <w:p>
            <w:pPr>
              <w:jc w:val="right"/>
            </w:pPr>
            <w:r>
              <w:t xml:space="preserve">филиала ПАО «</w:t>
            </w:r>
            <w:r>
              <w:t xml:space="preserve">Россети</w:t>
            </w:r>
            <w:r>
              <w:t xml:space="preserve"> Урал» - «Пермэнерго»</w:t>
            </w:r>
            <w:r/>
          </w:p>
          <w:p>
            <w:pPr>
              <w:jc w:val="right"/>
            </w:pPr>
            <w:r/>
            <w:r/>
          </w:p>
          <w:p>
            <w:pPr>
              <w:jc w:val="right"/>
              <w:rPr>
                <w:highlight w:val="none"/>
              </w:rPr>
            </w:pPr>
            <w:r>
              <w:t xml:space="preserve">________________ </w:t>
            </w:r>
            <w:r>
              <w:t xml:space="preserve">М.А. Кулаков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b/>
                <w:bCs/>
              </w:rPr>
            </w:pPr>
            <w:r>
              <w:rPr>
                <w:highlight w:val="none"/>
              </w:rPr>
              <w:t xml:space="preserve">«_____»_____________________2026г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</w:tbl>
    <w:p>
      <w:pPr>
        <w:ind w:left="1083" w:hanging="1083"/>
        <w:tabs>
          <w:tab w:val="left" w:pos="5746" w:leader="none"/>
        </w:tabs>
      </w:pPr>
      <w:r>
        <w:rPr>
          <w:b/>
        </w:rPr>
        <w:tab/>
      </w:r>
      <w:r>
        <w:rPr>
          <w:b/>
        </w:rPr>
        <w:tab/>
      </w:r>
      <w:r/>
    </w:p>
    <w:p>
      <w:pPr>
        <w:ind w:left="1083" w:hanging="1083"/>
        <w:tabs>
          <w:tab w:val="left" w:pos="5746" w:leader="none"/>
        </w:tabs>
      </w:pPr>
      <w:r>
        <w:tab/>
      </w:r>
      <w:r>
        <w:tab/>
      </w:r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46"/>
        <w:jc w:val="center"/>
        <w:keepLines w:val="0"/>
        <w:keepNext w:val="0"/>
        <w:spacing w:before="0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  <w:t xml:space="preserve">ТЕХНИЧЕСКАЯ ЧАСТЬ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r>
    </w:p>
    <w:p>
      <w:pPr>
        <w:pStyle w:val="1069"/>
        <w:jc w:val="center"/>
        <w:rPr>
          <w:b/>
        </w:rPr>
      </w:pPr>
      <w:r>
        <w:rPr>
          <w:b/>
        </w:rPr>
        <w:t xml:space="preserve"> (Техническое задание)</w:t>
      </w:r>
      <w:r>
        <w:rPr>
          <w:b/>
        </w:rPr>
      </w:r>
      <w:r>
        <w:rPr>
          <w:b/>
        </w:rPr>
      </w:r>
    </w:p>
    <w:p>
      <w:pPr>
        <w:pStyle w:val="1069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9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право заключения договора </w:t>
      </w:r>
      <w:r>
        <w:rPr>
          <w:b/>
          <w:sz w:val="24"/>
          <w:szCs w:val="24"/>
        </w:rPr>
        <w:t xml:space="preserve">на </w:t>
      </w:r>
      <w:bookmarkStart w:id="0" w:name="_GoBack"/>
      <w:r>
        <w:rPr>
          <w:b/>
          <w:bCs/>
          <w:sz w:val="24"/>
          <w:szCs w:val="24"/>
        </w:rPr>
      </w:r>
      <w:bookmarkEnd w:id="0"/>
      <w:r>
        <w:rPr>
          <w:b/>
          <w:sz w:val="24"/>
          <w:szCs w:val="24"/>
        </w:rPr>
        <w:t xml:space="preserve">поставку </w:t>
      </w:r>
      <w:r>
        <w:rPr>
          <w:b/>
          <w:sz w:val="24"/>
          <w:szCs w:val="24"/>
        </w:rPr>
        <w:t xml:space="preserve"> зап. частей к выключателям/разъединителям   (ПЭ)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</w:t>
      </w:r>
      <w:r>
        <w:rPr>
          <w:b/>
        </w:rPr>
        <w:t xml:space="preserve">Пермь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1046"/>
        <w:numPr>
          <w:ilvl w:val="0"/>
          <w:numId w:val="44"/>
        </w:numPr>
        <w:ind w:left="0" w:firstLine="0"/>
        <w:jc w:val="both"/>
        <w:keepLines w:val="0"/>
        <w:keepNext w:val="0"/>
        <w:spacing w:before="0"/>
        <w:tabs>
          <w:tab w:val="left" w:pos="284" w:leader="none"/>
        </w:tabs>
        <w:rPr>
          <w:rFonts w:ascii="Times New Roman" w:hAnsi="Times New Roman" w:eastAsia="SimSun" w:cs="Times New Roman"/>
          <w:b/>
          <w:bCs/>
          <w:iCs/>
          <w:color w:val="auto"/>
        </w:rPr>
      </w:pPr>
      <w:r>
        <w:rPr>
          <w:rFonts w:ascii="Times New Roman" w:hAnsi="Times New Roman" w:eastAsia="SimSun" w:cs="Times New Roman"/>
          <w:b/>
          <w:bCs/>
          <w:iCs/>
          <w:color w:val="auto"/>
        </w:rPr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Общие сведения о предмете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сравнения цен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 в электронной форме,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участниками которого могут быть только субъекты МСП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</w:rPr>
        <w:t xml:space="preserve">(да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лее - закупка):</w:t>
      </w:r>
      <w:r>
        <w:rPr>
          <w:rFonts w:ascii="Times New Roman" w:hAnsi="Times New Roman" w:eastAsia="SimSun" w:cs="Times New Roman"/>
          <w:b/>
          <w:bCs/>
          <w:iCs/>
          <w:color w:val="auto"/>
        </w:rPr>
      </w:r>
      <w:r>
        <w:rPr>
          <w:rFonts w:ascii="Times New Roman" w:hAnsi="Times New Roman" w:eastAsia="SimSun" w:cs="Times New Roman"/>
          <w:b/>
          <w:bCs/>
          <w:iCs/>
          <w:color w:val="auto"/>
        </w:rPr>
      </w:r>
    </w:p>
    <w:p>
      <w:r/>
      <w:r/>
    </w:p>
    <w:p>
      <w:pPr>
        <w:pStyle w:val="1066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Предмет закупки: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sz w:val="24"/>
          <w:szCs w:val="24"/>
        </w:rPr>
      </w:pPr>
      <w:r>
        <w:t xml:space="preserve">Право заключения договор</w:t>
      </w:r>
      <w:r>
        <w:t xml:space="preserve">а</w:t>
      </w:r>
      <w:r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поставку </w:t>
      </w:r>
      <w:r>
        <w:rPr>
          <w:sz w:val="24"/>
          <w:szCs w:val="24"/>
        </w:rPr>
        <w:t xml:space="preserve"> зап. частей к выключателям-разъединителям (ПЭ)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закупки:</w:t>
      </w:r>
      <w:r>
        <w:rPr>
          <w:b/>
        </w:rPr>
      </w:r>
      <w:r>
        <w:rPr>
          <w:b/>
        </w:rPr>
      </w:r>
    </w:p>
    <w:p>
      <w:pPr>
        <w:ind w:left="0" w:firstLine="0"/>
        <w:jc w:val="both"/>
        <w:tabs>
          <w:tab w:val="left" w:pos="426" w:leader="none"/>
          <w:tab w:val="left" w:pos="709" w:leader="none"/>
        </w:tabs>
        <w:rPr>
          <w:highlight w:val="none"/>
        </w:rPr>
      </w:pPr>
      <w:r>
        <w:t xml:space="preserve">План закупок 2026 года.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tabs>
          <w:tab w:val="left" w:pos="426" w:leader="none"/>
          <w:tab w:val="left" w:pos="709" w:leader="none"/>
        </w:tabs>
        <w:rPr>
          <w:b/>
          <w:bCs/>
        </w:rPr>
      </w:pPr>
      <w:r>
        <w:rPr>
          <w:highlight w:val="none"/>
        </w:rPr>
      </w:r>
      <w:r>
        <w:rPr>
          <w:highlight w:val="none"/>
        </w:rPr>
      </w:r>
      <w:r>
        <w:rPr>
          <w:b/>
          <w:bCs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Заказчик: </w:t>
      </w:r>
      <w:r>
        <w:t xml:space="preserve">ПАО «</w:t>
      </w:r>
      <w:r>
        <w:t xml:space="preserve">Россети</w:t>
      </w:r>
      <w:r>
        <w:t xml:space="preserve"> Урал»-филиал «Пермэнерго».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поставки: </w:t>
      </w:r>
      <w:r>
        <w:t xml:space="preserve">территория Пермского края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ind w:left="450" w:firstLine="0"/>
        <w:jc w:val="both"/>
        <w:tabs>
          <w:tab w:val="left" w:pos="426" w:leader="none"/>
          <w:tab w:val="left" w:pos="709" w:leader="none"/>
        </w:tabs>
        <w:rPr>
          <w:rFonts w:eastAsia="MS Mincho"/>
          <w:lang w:eastAsia="ja-JP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  <w:lang w:eastAsia="ja-JP"/>
        </w:rPr>
      </w:r>
      <w:r>
        <w:rPr>
          <w:rFonts w:eastAsia="MS Mincho"/>
          <w:lang w:eastAsia="ja-JP"/>
        </w:rPr>
      </w:r>
    </w:p>
    <w:p>
      <w:pPr>
        <w:pStyle w:val="1066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</w:rPr>
      </w:pPr>
      <w:r>
        <w:rPr>
          <w:b/>
          <w:bCs/>
        </w:rPr>
        <w:t xml:space="preserve">Срок </w:t>
      </w:r>
      <w:r>
        <w:rPr>
          <w:b/>
          <w:bCs/>
        </w:rPr>
        <w:t xml:space="preserve">поставки</w:t>
      </w:r>
      <w:r>
        <w:rPr>
          <w:rStyle w:val="1079"/>
          <w:b/>
          <w:bCs/>
        </w:rPr>
        <w:footnoteReference w:id="2"/>
      </w:r>
      <w:r>
        <w:rPr>
          <w:b/>
          <w:bCs/>
        </w:rPr>
        <w:t xml:space="preserve">: </w:t>
      </w:r>
      <w:r>
        <w:rPr>
          <w:b/>
          <w:bCs/>
        </w:rPr>
      </w:r>
      <w:r>
        <w:rPr>
          <w:b/>
          <w:bCs/>
        </w:rPr>
      </w:r>
    </w:p>
    <w:p>
      <w:pPr>
        <w:pStyle w:val="1066"/>
        <w:ind w:left="0"/>
        <w:jc w:val="both"/>
      </w:pPr>
      <w:r>
        <w:t xml:space="preserve">Потребность 4 квартала 202</w:t>
      </w:r>
      <w:r>
        <w:t xml:space="preserve">6</w:t>
      </w:r>
      <w:r>
        <w:t xml:space="preserve">:</w:t>
      </w:r>
      <w:r>
        <w:t xml:space="preserve"> </w:t>
      </w:r>
      <w:r>
        <w:t xml:space="preserve">в течение 45 календарных дней с момента заключения договора;</w:t>
      </w:r>
      <w:r/>
    </w:p>
    <w:p>
      <w:r/>
      <w:r/>
    </w:p>
    <w:p>
      <w:pPr>
        <w:jc w:val="both"/>
        <w:tabs>
          <w:tab w:val="left" w:pos="709" w:leader="none"/>
        </w:tabs>
        <w:rPr>
          <w:highlight w:val="none"/>
        </w:rPr>
      </w:pPr>
      <w:r>
        <w:t xml:space="preserve">1.5.1. </w:t>
      </w: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pStyle w:val="1066"/>
        <w:ind w:left="0"/>
        <w:jc w:val="both"/>
        <w:tabs>
          <w:tab w:val="left" w:pos="142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 w:val="0"/>
          <w:bCs w:val="0"/>
        </w:rPr>
      </w:pPr>
      <w:r>
        <w:rPr>
          <w:b/>
        </w:rPr>
        <w:t xml:space="preserve">Источник финансирования: </w:t>
      </w:r>
      <w:r>
        <w:rPr>
          <w:b w:val="0"/>
          <w:bCs w:val="0"/>
        </w:rPr>
        <w:t xml:space="preserve">Себестоимость (основная деятельность), </w:t>
      </w:r>
      <w:r>
        <w:rPr>
          <w:b w:val="0"/>
          <w:bCs w:val="0"/>
        </w:rPr>
        <w:t xml:space="preserve">Себестоимость (Материалы АР), </w:t>
      </w:r>
      <w:r/>
      <w:r>
        <w:rPr>
          <w:b w:val="0"/>
          <w:bCs w:val="0"/>
        </w:rPr>
      </w:r>
      <w:r>
        <w:rPr>
          <w:b w:val="0"/>
          <w:bCs w:val="0"/>
        </w:rPr>
        <w:t xml:space="preserve"> Инвестиции (материалы ТП)</w:t>
      </w:r>
      <w:r>
        <w:rPr>
          <w:b w:val="0"/>
          <w:bCs w:val="0"/>
        </w:rPr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38"/>
        <w:gridCol w:w="2346"/>
        <w:gridCol w:w="2346"/>
        <w:gridCol w:w="2182"/>
        <w:gridCol w:w="2094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Закупка/лот 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ID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заявки)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 xml:space="preserve">т.ч</w:t>
            </w:r>
            <w:r>
              <w:rPr>
                <w:sz w:val="20"/>
                <w:szCs w:val="20"/>
              </w:rPr>
              <w:t xml:space="preserve">. НДС,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9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62214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Пост</w:t>
            </w:r>
            <w:r>
              <w:rPr>
                <w:b w:val="0"/>
                <w:bCs w:val="0"/>
                <w:sz w:val="20"/>
                <w:szCs w:val="20"/>
              </w:rPr>
              <w:t xml:space="preserve">авка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  <w:t xml:space="preserve"> зап. частей к выключателям-разъединителям   (ПЭ)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56 425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,00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27.12.10.190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</w:tbl>
    <w:p>
      <w:pPr>
        <w:jc w:val="both"/>
        <w:tabs>
          <w:tab w:val="num" w:pos="0" w:leader="none"/>
        </w:tabs>
      </w:pPr>
      <w: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/>
    </w:p>
    <w:p>
      <w:pPr>
        <w:jc w:val="both"/>
        <w:tabs>
          <w:tab w:val="num" w:pos="0" w:leader="none"/>
        </w:tabs>
      </w:pPr>
      <w:r>
        <w:tab/>
      </w:r>
      <w:r>
        <w:rPr>
          <w:b/>
        </w:rPr>
        <w:tab/>
      </w:r>
      <w:r/>
    </w:p>
    <w:p>
      <w:pPr>
        <w:pStyle w:val="1066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sz w:val="22"/>
        </w:rPr>
      </w:pPr>
      <w:r>
        <w:rPr>
          <w:b/>
        </w:rPr>
        <w:t xml:space="preserve">Условия оплаты:</w:t>
      </w:r>
      <w:r>
        <w:rPr>
          <w:sz w:val="22"/>
        </w:rPr>
      </w:r>
      <w:r>
        <w:rPr>
          <w:sz w:val="22"/>
        </w:rPr>
      </w:r>
    </w:p>
    <w:p>
      <w:pPr>
        <w:jc w:val="both"/>
        <w:widowControl w:val="off"/>
        <w:tabs>
          <w:tab w:val="num" w:pos="0" w:leader="none"/>
        </w:tabs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</w:t>
      </w:r>
      <w:r>
        <w:t xml:space="preserve"> п.</w:t>
      </w:r>
      <w:r>
        <w:t xml:space="preserve">2.4.</w:t>
      </w:r>
      <w:r>
        <w:t xml:space="preserve"> Договора (Приложение №2 к настоящему ТЗ).</w:t>
      </w:r>
      <w:r/>
    </w:p>
    <w:p>
      <w:pPr>
        <w:jc w:val="both"/>
        <w:widowControl w:val="off"/>
        <w:tabs>
          <w:tab w:val="num" w:pos="0" w:leader="none"/>
        </w:tabs>
      </w:pPr>
      <w:r/>
      <w:r/>
    </w:p>
    <w:p>
      <w:pPr>
        <w:pStyle w:val="1054"/>
        <w:numPr>
          <w:ilvl w:val="1"/>
          <w:numId w:val="27"/>
        </w:num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Требования, предъявляемые к поставке продукции: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both"/>
        <w:widowControl w:val="off"/>
        <w:rPr>
          <w:highlight w:val="none"/>
        </w:rPr>
      </w:pPr>
      <w:r>
        <w:rPr>
          <w:highlight w:val="none"/>
        </w:rPr>
        <w:t xml:space="preserve">1.9.1.</w:t>
      </w: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1.9.2. 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1.9.3. 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66"/>
        <w:ind w:left="0"/>
        <w:jc w:val="both"/>
        <w:widowControl w:val="off"/>
        <w:tabs>
          <w:tab w:val="left" w:pos="42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6"/>
        <w:numPr>
          <w:ilvl w:val="1"/>
          <w:numId w:val="27"/>
        </w:numPr>
        <w:jc w:val="both"/>
        <w:widowControl w:val="off"/>
        <w:tabs>
          <w:tab w:val="left" w:pos="709" w:leader="none"/>
        </w:tabs>
      </w:pPr>
      <w:r>
        <w:rPr>
          <w:b/>
        </w:rPr>
        <w:t xml:space="preserve">Требования, предъявляемые к продукции:</w:t>
      </w:r>
      <w:r/>
    </w:p>
    <w:p>
      <w:pPr>
        <w:ind w:left="0" w:firstLine="0"/>
        <w:jc w:val="both"/>
        <w:widowControl w:val="off"/>
      </w:pPr>
      <w:r>
        <w:rPr>
          <w:highlight w:val="none"/>
        </w:rPr>
      </w:r>
      <w:r>
        <w:rPr>
          <w:highlight w:val="none"/>
        </w:rPr>
        <w:t xml:space="preserve">1.10.1. 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/>
    </w:p>
    <w:p>
      <w:pPr>
        <w:jc w:val="both"/>
        <w:widowControl w:val="off"/>
      </w:pPr>
      <w:r>
        <w:t xml:space="preserve">Поставляемые материалы и оборудование должны соответствовать техническим требованиям ПАО «</w:t>
      </w:r>
      <w:r>
        <w:t xml:space="preserve">Россети</w:t>
      </w:r>
      <w:r>
        <w:t xml:space="preserve">» и иметь копию заключения о Проверке качества, подтверждающего возможность применения продукции на объектах группы компаний «</w:t>
      </w:r>
      <w:r>
        <w:t xml:space="preserve">Россети</w:t>
      </w:r>
      <w:r>
        <w:t xml:space="preserve">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п.4.3.4.Договора - Приложение №2 к настоящему ТЗ)</w:t>
      </w:r>
      <w:r>
        <w:rPr>
          <w:vertAlign w:val="superscript"/>
        </w:rPr>
        <w:t xml:space="preserve">[</w:t>
      </w:r>
      <w:r>
        <w:rPr>
          <w:rStyle w:val="1079"/>
        </w:rPr>
        <w:footnoteReference w:id="3"/>
      </w:r>
      <w:r>
        <w:rPr>
          <w:vertAlign w:val="superscript"/>
        </w:rPr>
        <w:t xml:space="preserve">]</w:t>
      </w:r>
      <w:r>
        <w:t xml:space="preserve">. </w:t>
      </w:r>
      <w:r/>
    </w:p>
    <w:p>
      <w:pPr>
        <w:ind w:left="0" w:firstLine="0"/>
        <w:jc w:val="both"/>
      </w:pPr>
      <w:r>
        <w:t xml:space="preserve">1.10.2. </w:t>
      </w:r>
      <w: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№4 к Извещению (при условии их наличия в ТЗ).</w:t>
      </w:r>
      <w:r/>
    </w:p>
    <w:p>
      <w:pPr>
        <w:ind w:left="0" w:firstLine="0"/>
        <w:jc w:val="both"/>
        <w:widowControl w:val="off"/>
        <w:tabs>
          <w:tab w:val="left" w:pos="709" w:leader="none"/>
        </w:tabs>
      </w:pPr>
      <w:r>
        <w:t xml:space="preserve">1.10.3.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</w:t>
      </w:r>
      <w:r>
        <w:t xml:space="preserve">казываемой продукции и опросным листам, чертежам (при их наличии). Решение о согласовании/не согласовании замены 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/>
    </w:p>
    <w:p>
      <w:pPr>
        <w:ind w:left="0" w:firstLine="0"/>
        <w:jc w:val="both"/>
        <w:widowControl w:val="off"/>
        <w:tabs>
          <w:tab w:val="left" w:pos="709" w:leader="none"/>
        </w:tabs>
      </w:pPr>
      <w:r>
        <w:t xml:space="preserve">1.10.4. Факторы, оказывающие вредные воздействия на здоровье со стороны продукции не должны превышать действующих норм для обслуживающего и ремонтного персо</w:t>
      </w:r>
      <w:r>
        <w:t xml:space="preserve">нала. 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/>
    </w:p>
    <w:p>
      <w:pPr>
        <w:ind w:left="0" w:firstLine="0"/>
        <w:jc w:val="both"/>
        <w:widowControl w:val="off"/>
        <w:tabs>
          <w:tab w:val="left" w:pos="567" w:leader="none"/>
        </w:tabs>
      </w:pPr>
      <w:r>
        <w:t xml:space="preserve">1.10.5. 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</w:t>
      </w:r>
      <w:r>
        <w:t xml:space="preserve">Срок изготовления </w:t>
      </w:r>
      <w:r>
        <w:t xml:space="preserve">не ранее 4</w:t>
      </w:r>
      <w:r>
        <w:t xml:space="preserve"> квартала 202</w:t>
      </w:r>
      <w:r>
        <w:t xml:space="preserve">5</w:t>
      </w:r>
      <w:r>
        <w:t xml:space="preserve">г.</w:t>
      </w:r>
      <w:r/>
    </w:p>
    <w:p>
      <w:pPr>
        <w:ind w:left="0" w:firstLine="0"/>
        <w:jc w:val="both"/>
        <w:tabs>
          <w:tab w:val="num" w:pos="0" w:leader="none"/>
          <w:tab w:val="left" w:pos="426" w:leader="none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1.10.6. Технические требования к продукции:</w:t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jc w:val="both"/>
        <w:widowControl w:val="off"/>
        <w:tabs>
          <w:tab w:val="num" w:pos="0" w:leader="none"/>
          <w:tab w:val="left" w:pos="709" w:leader="none"/>
          <w:tab w:val="left" w:pos="3594" w:leader="none"/>
        </w:tabs>
        <w:rPr>
          <w:bCs/>
          <w:i/>
          <w:highlight w:val="none"/>
        </w:rPr>
      </w:pPr>
      <w:r>
        <w:rPr>
          <w:i/>
          <w:highlight w:val="none"/>
        </w:rPr>
      </w:r>
      <w:r>
        <w:rPr>
          <w:i w:val="0"/>
          <w:iCs w:val="0"/>
          <w:highlight w:val="none"/>
        </w:rPr>
        <w:t xml:space="preserve">1.10.6.1. Гарантийный срок на поставляемую продукцию должен составлять не менее 1 (одного) года с момента поставки продукции на склад Грузополучателя.  </w:t>
      </w:r>
      <w:r>
        <w:rPr>
          <w:i/>
          <w:highlight w:val="none"/>
        </w:rPr>
        <w:t xml:space="preserve">   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jc w:val="both"/>
        <w:tabs>
          <w:tab w:val="left" w:pos="426" w:leader="none"/>
          <w:tab w:val="left" w:pos="851" w:leader="none"/>
          <w:tab w:val="left" w:pos="6048" w:leader="none"/>
          <w:tab w:val="left" w:pos="7144" w:leader="none"/>
          <w:tab w:val="left" w:pos="10182" w:leader="none"/>
          <w:tab w:val="left" w:pos="11203" w:leader="none"/>
          <w:tab w:val="left" w:pos="13807" w:leader="none"/>
          <w:tab w:val="left" w:pos="15354" w:leader="none"/>
        </w:tabs>
        <w:rPr>
          <w:color w:val="000000" w:themeColor="text1"/>
        </w:rPr>
      </w:pPr>
      <w:r>
        <w:rPr>
          <w:color w:val="000000" w:themeColor="text1"/>
        </w:rPr>
        <w:t xml:space="preserve">1.10.6.2. Допускается к рассмотрению поставка прод</w:t>
      </w:r>
      <w:r>
        <w:rPr>
          <w:color w:val="000000" w:themeColor="text1"/>
        </w:rPr>
        <w:t xml:space="preserve">укции со складов и консервации.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rPr>
          <w:rFonts w:eastAsiaTheme="minorHAnsi"/>
          <w:highlight w:val="white"/>
        </w:rPr>
      </w:pPr>
      <w:r>
        <w:rPr>
          <w:rFonts w:eastAsiaTheme="minorHAnsi"/>
          <w:color w:val="000000" w:themeColor="text1"/>
          <w:highlight w:val="none"/>
          <w:lang w:eastAsia="en-US"/>
        </w:rPr>
        <w:t xml:space="preserve">1.10.7. </w:t>
      </w:r>
      <w:r>
        <w:rPr>
          <w:rFonts w:eastAsiaTheme="minorHAnsi"/>
          <w:highlight w:val="none"/>
          <w:lang w:eastAsia="en-US"/>
        </w:rPr>
        <w:t xml:space="preserve">В отношении продукции, </w:t>
      </w:r>
      <w:r>
        <w:rPr>
          <w:highlight w:val="none"/>
        </w:rPr>
        <w:t xml:space="preserve">указанной в приложении №3.1 к части II «ИНФОРМАЦИОННАЯ КАРТА ЗАКУПКИ» – Техническое предложение участника, а именно </w:t>
      </w:r>
      <w:r>
        <w:rPr>
          <w:highlight w:val="none"/>
        </w:rPr>
        <w:t xml:space="preserve">позиции № 3-4, 6-7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/>
      <w:r>
        <w:rPr>
          <w:rFonts w:eastAsiaTheme="minorHAnsi"/>
          <w:color w:val="000000" w:themeColor="text1"/>
          <w:highlight w:val="none"/>
          <w:lang w:eastAsia="en-US"/>
        </w:rPr>
      </w:r>
      <w:r>
        <w:rPr>
          <w:rFonts w:eastAsiaTheme="minorHAnsi"/>
          <w:highlight w:val="white"/>
        </w:rPr>
      </w:r>
    </w:p>
    <w:p>
      <w:pPr>
        <w:jc w:val="both"/>
        <w:tabs>
          <w:tab w:val="left" w:pos="426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80"/>
        <w:numPr>
          <w:ilvl w:val="0"/>
          <w:numId w:val="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2. 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81"/>
        <w:numPr>
          <w:ilvl w:val="0"/>
          <w:numId w:val="0"/>
        </w:numPr>
        <w:ind w:left="0" w:firstLine="0"/>
        <w:rPr>
          <w:highlight w:val="none"/>
        </w:rPr>
      </w:pPr>
      <w:r>
        <w:rPr>
          <w:highlight w:val="none"/>
        </w:rPr>
        <w:t xml:space="preserve">2.1. 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white"/>
        </w:rPr>
      </w:pPr>
      <w:r>
        <w:rPr>
          <w:rFonts w:eastAsia="MS Mincho"/>
          <w:highlight w:val="none"/>
          <w:lang w:eastAsia="ja-JP"/>
        </w:rPr>
        <w:t xml:space="preserve">2.1.1.</w:t>
      </w:r>
      <w:r>
        <w:rPr>
          <w:rFonts w:eastAsia="MS Mincho"/>
          <w:highlight w:val="white"/>
          <w:lang w:eastAsia="ja-JP"/>
        </w:rPr>
        <w:t xml:space="preserve"> </w:t>
      </w:r>
      <w:r>
        <w:rPr>
          <w:rFonts w:eastAsia="MS Mincho"/>
          <w:highlight w:val="whit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rFonts w:eastAsia="MS Mincho"/>
          <w:highlight w:val="white"/>
        </w:rPr>
      </w:r>
      <w:r>
        <w:rPr>
          <w:rFonts w:eastAsia="MS Mincho"/>
          <w:highlight w:val="white"/>
        </w:rPr>
      </w:r>
    </w:p>
    <w:p>
      <w:pPr>
        <w:pStyle w:val="1082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white"/>
          <w:lang w:eastAsia="ja-JP"/>
        </w:rPr>
        <w:t xml:space="preserve">2.1.2. Иметь </w:t>
      </w:r>
      <w:r>
        <w:rPr>
          <w:rFonts w:eastAsia="MS Mincho"/>
          <w:highlight w:val="none"/>
          <w:lang w:eastAsia="ja-JP"/>
        </w:rPr>
        <w:t xml:space="preserve">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82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2.1.3. 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82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80"/>
        <w:numPr>
          <w:ilvl w:val="0"/>
          <w:numId w:val="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3. 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82"/>
        <w:numPr>
          <w:ilvl w:val="0"/>
          <w:numId w:val="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3.1. 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82"/>
        <w:numPr>
          <w:ilvl w:val="0"/>
          <w:numId w:val="0"/>
        </w:numPr>
        <w:ind w:left="0" w:firstLine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none"/>
          <w:lang w:eastAsia="en-US"/>
        </w:rPr>
        <w:t xml:space="preserve">3.1.1. Приложение №4 к Техническому заданию заполняется строго по форме Заказчика, с обязате</w:t>
      </w:r>
      <w:r>
        <w:rPr>
          <w:rFonts w:eastAsia="Calibri"/>
          <w:szCs w:val="24"/>
          <w:highlight w:val="white"/>
          <w:lang w:eastAsia="en-US"/>
        </w:rPr>
        <w:t xml:space="preserve">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82"/>
        <w:numPr>
          <w:ilvl w:val="0"/>
          <w:numId w:val="0"/>
        </w:numPr>
        <w:ind w:left="0" w:firstLine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highlight w:val="white"/>
        </w:rPr>
        <w:t xml:space="preserve">3.1.2. </w:t>
      </w:r>
      <w:r>
        <w:rPr>
          <w:highlight w:val="white"/>
        </w:rPr>
        <w:t xml:space="preserve">У</w:t>
      </w:r>
      <w:r>
        <w:rPr>
          <w:highlight w:val="whit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whit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82"/>
        <w:numPr>
          <w:ilvl w:val="0"/>
          <w:numId w:val="0"/>
        </w:numPr>
        <w:ind w:left="0" w:firstLine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white"/>
        </w:rPr>
      </w:r>
      <w:r>
        <w:rPr>
          <w:highlight w:val="white"/>
        </w:rPr>
        <w:t xml:space="preserve">3.1.3. П</w:t>
      </w:r>
      <w:r>
        <w:rPr>
          <w:highlight w:val="white"/>
        </w:rPr>
        <w:t xml:space="preserve">рименяемый «Единый итоговы</w:t>
      </w:r>
      <w:r>
        <w:rPr>
          <w:highlight w:val="white"/>
        </w:rPr>
        <w:t xml:space="preserve">й коэффициент снижения Участника на виды продукции (0&lt;K≤1)» явля</w:t>
      </w:r>
      <w:r>
        <w:rPr>
          <w:highlight w:val="white"/>
        </w:rPr>
        <w:t xml:space="preserve">ет</w:t>
      </w:r>
      <w:r>
        <w:rPr>
          <w:highlight w:val="white"/>
        </w:rPr>
        <w:t xml:space="preserve">ся единым для всех видов продукции</w:t>
      </w:r>
      <w:r>
        <w:rPr>
          <w:highlight w:val="white"/>
        </w:rPr>
        <w:t xml:space="preserve">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82"/>
        <w:numPr>
          <w:ilvl w:val="0"/>
          <w:numId w:val="0"/>
        </w:numPr>
        <w:ind w:left="0" w:firstLine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white"/>
          <w:lang w:eastAsia="en-US"/>
        </w:rPr>
        <w:t xml:space="preserve">3.1.4. </w:t>
      </w:r>
      <w:r>
        <w:rPr>
          <w:highlight w:val="white"/>
          <w:lang w:val="ru-RU"/>
        </w:rPr>
        <w:t xml:space="preserve">В столбце «</w:t>
      </w:r>
      <w:r>
        <w:rPr>
          <w:highlight w:val="white"/>
          <w:lang w:val="ru-RU"/>
        </w:rPr>
        <w:t xml:space="preserve">Ставка НДС, %</w:t>
      </w:r>
      <w:r>
        <w:rPr>
          <w:highlight w:val="whit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white"/>
          <w:lang w:val="ru-RU"/>
        </w:rPr>
        <w:t xml:space="preserve">«</w:t>
      </w:r>
      <w:r>
        <w:rPr>
          <w:highlight w:val="white"/>
          <w:lang w:val="ru-RU"/>
        </w:rPr>
        <w:t xml:space="preserve">Ставка НДС, %</w:t>
      </w:r>
      <w:r>
        <w:rPr>
          <w:highlight w:val="white"/>
          <w:lang w:val="ru-RU"/>
        </w:rPr>
        <w:t xml:space="preserve">»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у</w:t>
      </w:r>
      <w:r>
        <w:rPr>
          <w:highlight w:val="white"/>
          <w:lang w:val="ru-RU"/>
        </w:rPr>
        <w:t xml:space="preserve">к</w:t>
      </w:r>
      <w:r>
        <w:rPr>
          <w:highlight w:val="white"/>
          <w:lang w:val="ru-RU"/>
        </w:rPr>
        <w:t xml:space="preserve">а</w:t>
      </w:r>
      <w:r>
        <w:rPr>
          <w:highlight w:val="white"/>
          <w:lang w:val="ru-RU"/>
        </w:rPr>
        <w:t xml:space="preserve">з</w:t>
      </w:r>
      <w:r>
        <w:rPr>
          <w:highlight w:val="white"/>
          <w:lang w:val="ru-RU"/>
        </w:rPr>
        <w:t xml:space="preserve">ы</w:t>
      </w:r>
      <w:r>
        <w:rPr>
          <w:highlight w:val="white"/>
          <w:lang w:val="ru-RU"/>
        </w:rPr>
        <w:t xml:space="preserve">в</w:t>
      </w:r>
      <w:r>
        <w:rPr>
          <w:highlight w:val="white"/>
          <w:lang w:val="ru-RU"/>
        </w:rPr>
        <w:t xml:space="preserve">а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т</w:t>
      </w:r>
      <w:r>
        <w:rPr>
          <w:highlight w:val="white"/>
          <w:lang w:val="ru-RU"/>
        </w:rPr>
        <w:t xml:space="preserve">с</w:t>
      </w:r>
      <w:r>
        <w:rPr>
          <w:highlight w:val="white"/>
          <w:lang w:val="ru-RU"/>
        </w:rPr>
        <w:t xml:space="preserve">я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0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</w:t>
      </w:r>
      <w:r>
        <w:rPr>
          <w:highlight w:val="white"/>
          <w:lang w:val="ru-RU"/>
        </w:rPr>
        <w:t xml:space="preserve">л</w:t>
      </w:r>
      <w:r>
        <w:rPr>
          <w:highlight w:val="white"/>
          <w:lang w:val="ru-RU"/>
        </w:rPr>
        <w:t xml:space="preserve">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с</w:t>
      </w:r>
      <w:r>
        <w:rPr>
          <w:highlight w:val="white"/>
          <w:lang w:val="ru-RU"/>
        </w:rPr>
        <w:t xml:space="preserve">т</w:t>
      </w:r>
      <w:r>
        <w:rPr>
          <w:highlight w:val="white"/>
          <w:lang w:val="ru-RU"/>
        </w:rPr>
        <w:t xml:space="preserve">о</w:t>
      </w:r>
      <w:r>
        <w:rPr>
          <w:highlight w:val="white"/>
          <w:lang w:val="ru-RU"/>
        </w:rPr>
        <w:t xml:space="preserve">л</w:t>
      </w:r>
      <w:r>
        <w:rPr>
          <w:highlight w:val="white"/>
          <w:lang w:val="ru-RU"/>
        </w:rPr>
        <w:t xml:space="preserve">б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ц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н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з</w:t>
      </w:r>
      <w:r>
        <w:rPr>
          <w:highlight w:val="white"/>
          <w:lang w:val="ru-RU"/>
        </w:rPr>
        <w:t xml:space="preserve">а</w:t>
      </w:r>
      <w:r>
        <w:rPr>
          <w:highlight w:val="white"/>
          <w:lang w:val="ru-RU"/>
        </w:rPr>
        <w:t xml:space="preserve">п</w:t>
      </w:r>
      <w:r>
        <w:rPr>
          <w:highlight w:val="white"/>
          <w:lang w:val="ru-RU"/>
        </w:rPr>
        <w:t xml:space="preserve">о</w:t>
      </w:r>
      <w:r>
        <w:rPr>
          <w:highlight w:val="white"/>
          <w:lang w:val="ru-RU"/>
        </w:rPr>
        <w:t xml:space="preserve">л</w:t>
      </w:r>
      <w:r>
        <w:rPr>
          <w:highlight w:val="white"/>
          <w:lang w:val="ru-RU"/>
        </w:rPr>
        <w:t xml:space="preserve">н</w:t>
      </w:r>
      <w:r>
        <w:rPr>
          <w:highlight w:val="white"/>
          <w:lang w:val="ru-RU"/>
        </w:rPr>
        <w:t xml:space="preserve">я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т</w:t>
      </w:r>
      <w:r>
        <w:rPr>
          <w:highlight w:val="white"/>
          <w:lang w:val="ru-RU"/>
        </w:rPr>
        <w:t xml:space="preserve">с</w:t>
      </w:r>
      <w:r>
        <w:rPr>
          <w:highlight w:val="white"/>
          <w:lang w:val="ru-RU"/>
        </w:rPr>
        <w:t xml:space="preserve">я</w:t>
      </w:r>
      <w:r>
        <w:rPr>
          <w:highlight w:val="white"/>
          <w:lang w:val="ru-RU"/>
        </w:rPr>
        <w:t xml:space="preserve">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8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highlight w:val="white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3.1.5.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white"/>
          <w:lang w:eastAsia="en-US"/>
        </w:rPr>
        <w:t xml:space="preserve">В</w:t>
      </w:r>
      <w:r>
        <w:rPr>
          <w:rFonts w:eastAsia="Calibri"/>
          <w:szCs w:val="24"/>
          <w:highlight w:val="white"/>
          <w:lang w:eastAsia="en-US"/>
        </w:rPr>
        <w:t xml:space="preserve"> столбце 12* «Включено в Реестр промышленной продукции/реестр промышленных товаров государств - членов ЕАЭС» требуется указать сведения для каждого из заявленных производителей по каждому виду продукции, в соответствии с Постановлением Правительства Россий</w:t>
      </w:r>
      <w:r>
        <w:rPr>
          <w:rFonts w:eastAsia="Calibri"/>
          <w:szCs w:val="24"/>
          <w:highlight w:val="white"/>
          <w:lang w:eastAsia="en-US"/>
        </w:rPr>
        <w:t xml:space="preserve">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</w:t>
      </w:r>
      <w:r>
        <w:rPr>
          <w:rFonts w:eastAsia="Calibri"/>
          <w:szCs w:val="24"/>
          <w:highlight w:val="white"/>
          <w:lang w:eastAsia="en-US"/>
        </w:rPr>
        <w:t xml:space="preserve">идами юридических лиц».</w:t>
      </w:r>
      <w:r>
        <w:rPr>
          <w:highlight w:val="white"/>
        </w:rPr>
      </w:r>
      <w:r>
        <w:rPr>
          <w:highlight w:val="white"/>
        </w:rPr>
      </w:r>
    </w:p>
    <w:p>
      <w:pPr>
        <w:pStyle w:val="108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3.1.6.  Не допускается изменять форму Приложения №4 к Техническому заданию. </w:t>
      </w:r>
      <w:r>
        <w:rPr>
          <w:rFonts w:eastAsia="Calibri"/>
          <w:szCs w:val="24"/>
          <w:highlight w:val="none"/>
        </w:rPr>
      </w:r>
      <w:r>
        <w:rPr>
          <w:rFonts w:eastAsia="Calibri"/>
          <w:highlight w:val="none"/>
        </w:rPr>
      </w:r>
    </w:p>
    <w:p>
      <w:pPr>
        <w:pStyle w:val="108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3.1.7. 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8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none"/>
          <w:lang w:eastAsia="en-US"/>
        </w:rPr>
        <w:t xml:space="preserve">3.1.8.</w:t>
      </w:r>
      <w:r>
        <w:rPr>
          <w:rFonts w:eastAsia="Calibri"/>
          <w:szCs w:val="24"/>
          <w:highlight w:val="white"/>
          <w:lang w:eastAsia="en-US"/>
        </w:rPr>
        <w:t xml:space="preserve"> </w:t>
      </w:r>
      <w:r>
        <w:rPr>
          <w:highlight w:val="white"/>
        </w:rPr>
        <w:t xml:space="preserve">В ц</w:t>
      </w:r>
      <w:r>
        <w:rPr>
          <w:highlight w:val="white"/>
        </w:rPr>
        <w:t xml:space="preserve">елях подтверждения страны происхождения товара</w:t>
      </w:r>
      <w:r>
        <w:rPr>
          <w:highlight w:val="white"/>
        </w:rPr>
        <w:t xml:space="preserve"> в соответствии с п.1.10.7 Технического задания</w:t>
      </w:r>
      <w:r>
        <w:rPr>
          <w:highlight w:val="white"/>
        </w:rPr>
        <w:t xml:space="preserve"> Участник в </w:t>
      </w:r>
      <w:r>
        <w:rPr>
          <w:highlight w:val="white"/>
        </w:rPr>
        <w:t xml:space="preserve">Приложении </w:t>
      </w:r>
      <w:r>
        <w:rPr>
          <w:rFonts w:eastAsia="Calibri"/>
          <w:szCs w:val="24"/>
          <w:highlight w:val="white"/>
          <w:lang w:eastAsia="en-US"/>
        </w:rPr>
        <w:t xml:space="preserve">№4 к Техническому заданию</w:t>
      </w:r>
      <w:r>
        <w:rPr>
          <w:highlight w:val="white"/>
        </w:rPr>
        <w:t xml:space="preserve"> заполняет столбец 12* «</w:t>
      </w:r>
      <w:r>
        <w:rPr>
          <w:highlight w:val="whit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white"/>
        </w:rPr>
        <w:t xml:space="preserve">» по каждой номенклатурной позиции</w:t>
      </w:r>
      <w:r>
        <w:rPr>
          <w:highlight w:val="white"/>
        </w:rPr>
        <w:t xml:space="preserve"> с  обязательным указанием в столбце 13* </w:t>
      </w:r>
      <w:r>
        <w:rPr>
          <w:highlight w:val="whit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white"/>
        </w:rPr>
        <w:t xml:space="preserve">(при их наличии).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8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highlight w:val="white"/>
        </w:rPr>
        <w:t xml:space="preserve">3.1.9. </w:t>
      </w:r>
      <w:r>
        <w:rPr>
          <w:highlight w:val="white"/>
        </w:rPr>
        <w:t xml:space="preserve">В случае непредоставления / </w:t>
      </w:r>
      <w:r>
        <w:rPr>
          <w:highlight w:val="white"/>
        </w:rPr>
        <w:t xml:space="preserve">не полного предоставления / </w:t>
      </w:r>
      <w:r>
        <w:rPr>
          <w:highlight w:val="white"/>
        </w:rPr>
        <w:t xml:space="preserve">некорректного предоставления </w:t>
      </w:r>
      <w:r>
        <w:rPr>
          <w:highlight w:val="white"/>
        </w:rPr>
        <w:t xml:space="preserve">/ </w:t>
      </w:r>
      <w:r>
        <w:rPr>
          <w:highlight w:val="whit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whit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white"/>
        </w:rPr>
        <w:t xml:space="preserve"> 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8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white"/>
          <w:lang w:eastAsia="en-US"/>
        </w:rPr>
        <w:t xml:space="preserve">3.1.10. </w:t>
      </w:r>
      <w:r>
        <w:rPr>
          <w:rFonts w:eastAsia="Calibri"/>
          <w:szCs w:val="24"/>
          <w:highlight w:val="white"/>
          <w:lang w:eastAsia="en-US"/>
        </w:rPr>
        <w:t xml:space="preserve">В случае нарушения требований инструкц</w:t>
      </w:r>
      <w:r>
        <w:rPr>
          <w:rFonts w:eastAsia="Calibri"/>
          <w:szCs w:val="24"/>
          <w:highlight w:val="white"/>
          <w:lang w:eastAsia="en-US"/>
        </w:rPr>
        <w:t xml:space="preserve">ии </w:t>
      </w:r>
      <w:r>
        <w:rPr>
          <w:rFonts w:eastAsia="Calibri"/>
          <w:szCs w:val="24"/>
          <w:highlight w:val="none"/>
          <w:lang w:eastAsia="en-US"/>
        </w:rPr>
        <w:t xml:space="preserve">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white"/>
          <w:lang w:eastAsia="en-US"/>
        </w:rPr>
        <w:t xml:space="preserve">3</w:t>
      </w:r>
      <w:r>
        <w:rPr>
          <w:rFonts w:eastAsia="Calibri"/>
          <w:szCs w:val="24"/>
          <w:highlight w:val="white"/>
          <w:lang w:eastAsia="en-US"/>
        </w:rPr>
        <w:t xml:space="preserve">.1.9</w:t>
      </w:r>
      <w:r>
        <w:rPr>
          <w:rFonts w:eastAsia="Calibri"/>
          <w:szCs w:val="24"/>
          <w:highlight w:val="white"/>
          <w:lang w:eastAsia="en-US"/>
        </w:rPr>
        <w:t xml:space="preserve"> на</w:t>
      </w:r>
      <w:r>
        <w:rPr>
          <w:rFonts w:eastAsia="Calibri"/>
          <w:szCs w:val="24"/>
          <w:highlight w:val="none"/>
          <w:lang w:eastAsia="en-US"/>
        </w:rPr>
        <w:t xml:space="preserve">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highlight w:val="none"/>
        </w:rPr>
      </w:r>
    </w:p>
    <w:p>
      <w:pPr>
        <w:pStyle w:val="108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3.1.11. Информация, указанная Участником в приложении № 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, в дальнейшем изменению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8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3.1.12. 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ind w:left="0" w:firstLine="0"/>
        <w:keepLines/>
        <w:spacing w:before="120" w:after="120"/>
        <w:rPr>
          <w:b/>
          <w:bCs/>
          <w:highlight w:val="none"/>
        </w:rPr>
      </w:pPr>
      <w:r>
        <w:rPr>
          <w:b/>
          <w:highlight w:val="none"/>
        </w:rPr>
        <w:t xml:space="preserve">4. Выбор победителя закупки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60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60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60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60"/>
        <w:numPr>
          <w:ilvl w:val="0"/>
          <w:numId w:val="50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60"/>
        <w:numPr>
          <w:ilvl w:val="0"/>
          <w:numId w:val="50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60"/>
        <w:numPr>
          <w:ilvl w:val="0"/>
          <w:numId w:val="50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jc w:val="both"/>
        <w:rPr>
          <w:rFonts w:ascii="Times New Roman" w:hAnsi="Times New Roman" w:cs="Times New Roman"/>
          <w:b/>
          <w:bCs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</w:r>
      <w:r>
        <w:rPr>
          <w:rFonts w:ascii="Times New Roman" w:hAnsi="Times New Roman" w:cs="Times New Roman"/>
          <w:b/>
          <w:bCs/>
          <w:i/>
          <w:color w:val="auto"/>
        </w:rPr>
      </w:r>
      <w:r>
        <w:rPr>
          <w:rFonts w:ascii="Times New Roman" w:hAnsi="Times New Roman" w:cs="Times New Roman"/>
          <w:b/>
          <w:bCs/>
          <w:i/>
          <w:color w:val="auto"/>
        </w:rPr>
      </w:r>
    </w:p>
    <w:p>
      <w:pPr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Style w:val="1075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1 (</w:t>
      </w:r>
      <w:r>
        <w:rPr>
          <w:rStyle w:val="1075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t xml:space="preserve">Обоснование начальной (максимальной) цены договора (форма).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r>
        <w:rPr>
          <w:rStyle w:val="107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75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75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75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66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7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75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7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75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66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/>
      <w:r/>
    </w:p>
    <w:p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right="76"/>
        <w:jc w:val="both"/>
        <w:rPr>
          <w:b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</w:rPr>
      </w:r>
      <w:r>
        <w:rPr>
          <w:b/>
        </w:rPr>
      </w:r>
    </w:p>
    <w:p>
      <w:pPr>
        <w:ind w:left="5387"/>
        <w:pageBreakBefore/>
      </w:pPr>
      <w:r>
        <w:t xml:space="preserve">Приложение 1 к Техническому заданию </w:t>
      </w:r>
      <w:r/>
    </w:p>
    <w:p>
      <w:pPr>
        <w:ind w:left="5387"/>
        <w:rPr>
          <w:bCs/>
        </w:rPr>
      </w:pPr>
      <w:r>
        <w:t xml:space="preserve">(обязательное)</w:t>
      </w:r>
      <w:r>
        <w:rPr>
          <w:bCs/>
        </w:rPr>
      </w:r>
      <w:r>
        <w:rPr>
          <w:bCs/>
        </w:rPr>
      </w:r>
    </w:p>
    <w:p>
      <w:pPr>
        <w:pStyle w:val="10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before="411" w:line="343" w:lineRule="atLeast"/>
        <w:shd w:val="clear" w:color="auto" w:fill="ffffff"/>
        <w:rPr>
          <w:b w:val="0"/>
          <w:bCs w:val="0"/>
          <w:sz w:val="28"/>
          <w:szCs w:val="28"/>
          <w14:ligatures w14:val="none"/>
        </w:rPr>
        <w:pBdr>
          <w:bottom w:val="single" w:color="000000" w:sz="12" w:space="0"/>
        </w:pBdr>
        <w:outlineLvl w:val="1"/>
      </w:pP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став</w:t>
      </w:r>
      <w:r>
        <w:rPr>
          <w:b w:val="0"/>
          <w:bCs w:val="0"/>
          <w:sz w:val="28"/>
          <w:szCs w:val="28"/>
        </w:rPr>
        <w:t xml:space="preserve">к</w:t>
      </w:r>
      <w:r>
        <w:rPr>
          <w:b w:val="0"/>
          <w:bCs w:val="0"/>
          <w:sz w:val="28"/>
          <w:szCs w:val="28"/>
        </w:rPr>
        <w:t xml:space="preserve">а </w:t>
      </w:r>
      <w:r>
        <w:rPr>
          <w:b w:val="0"/>
          <w:bCs w:val="0"/>
          <w:sz w:val="28"/>
          <w:szCs w:val="28"/>
        </w:rPr>
        <w:t xml:space="preserve"> зап. частей к выключателям/разъединителям   (ПЭ)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  <w14:ligatures w14:val="none"/>
        </w:rPr>
      </w:r>
    </w:p>
    <w:p>
      <w:pPr>
        <w:ind w:firstLine="851"/>
        <w:jc w:val="center"/>
        <w:spacing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(указывается предмет закупки)</w:t>
      </w:r>
      <w:bookmarkStart w:id="4" w:name="l152"/>
      <w:r/>
      <w:bookmarkEnd w:id="4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bookmarkStart w:id="5" w:name="l55"/>
            <w:r>
              <w:rPr>
                <w:sz w:val="28"/>
                <w:szCs w:val="28"/>
              </w:rPr>
            </w:r>
            <w:bookmarkEnd w:id="5"/>
            <w:r>
              <w:rPr>
                <w:sz w:val="28"/>
                <w:szCs w:val="28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56 425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,00 </w:t>
            </w:r>
            <w:r>
              <w:rPr>
                <w:sz w:val="28"/>
                <w:szCs w:val="28"/>
              </w:rPr>
              <w:t xml:space="preserve">ру</w:t>
            </w:r>
            <w:r>
              <w:rPr>
                <w:sz w:val="28"/>
                <w:szCs w:val="28"/>
              </w:rPr>
              <w:t xml:space="preserve">б</w:t>
            </w:r>
            <w:r>
              <w:rPr>
                <w:sz w:val="28"/>
                <w:szCs w:val="28"/>
              </w:rPr>
              <w:t xml:space="preserve">. с НДС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Нормативный метод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ЕСЗ (Единый Стандарт Закупок)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№1.1. к ТЗ – Расчет НМЦ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p>
      <w:pPr>
        <w:jc w:val="both"/>
        <w:tabs>
          <w:tab w:val="num" w:pos="0" w:leader="none"/>
        </w:tabs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left"/>
        <w:rPr>
          <w:b/>
          <w:bCs/>
          <w:highlight w:val="white"/>
        </w:rPr>
      </w:pPr>
      <w:r>
        <w:rPr>
          <w:highlight w:val="white"/>
        </w:rPr>
        <w:t xml:space="preserve">Техническое задание </w:t>
      </w:r>
      <w:r>
        <w:rPr>
          <w:b w:val="0"/>
          <w:bCs w:val="0"/>
          <w:highlight w:val="white"/>
        </w:rPr>
        <w:t xml:space="preserve">с</w:t>
      </w:r>
      <w:r>
        <w:rPr>
          <w:b w:val="0"/>
          <w:bCs w:val="0"/>
          <w:highlight w:val="white"/>
        </w:rPr>
        <w:t xml:space="preserve">оставил:</w:t>
      </w:r>
      <w:r>
        <w:rPr>
          <w:b w:val="0"/>
          <w:bCs w:val="0"/>
          <w:highlight w:val="white"/>
        </w:rPr>
        <w:tab/>
      </w:r>
      <w:r>
        <w:rPr>
          <w:b w:val="0"/>
          <w:bCs w:val="0"/>
          <w:highlight w:val="white"/>
        </w:rPr>
        <w:tab/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left"/>
        <w:rPr>
          <w:highlight w:val="white"/>
        </w:rPr>
      </w:pPr>
      <w:r>
        <w:rPr>
          <w:b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highlight w:val="none"/>
              </w:rPr>
              <w:t xml:space="preserve">Ведущий специалист УЛиМТО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none"/>
              </w:rPr>
              <w:t xml:space="preserve">Касаткина В.С.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54"/>
        <w:ind w:firstLine="708"/>
        <w:jc w:val="both"/>
        <w:widowControl w:val="off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tabs>
          <w:tab w:val="num" w:pos="0" w:leader="none"/>
        </w:tabs>
      </w:pPr>
      <w:r/>
      <w:r/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tabs>
          <w:tab w:val="left" w:pos="993" w:leader="none"/>
        </w:tabs>
      </w:pPr>
      <w:r/>
      <w:r/>
    </w:p>
    <w:p>
      <w:r/>
      <w:r/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7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0"/>
      <w:rPr>
        <w:rStyle w:val="1072"/>
      </w:rPr>
      <w:framePr w:wrap="around" w:vAnchor="text" w:hAnchor="margin" w:xAlign="center" w:y="1"/>
    </w:pPr>
    <w:r>
      <w:rPr>
        <w:rStyle w:val="1072"/>
      </w:rPr>
      <w:fldChar w:fldCharType="begin"/>
    </w:r>
    <w:r>
      <w:rPr>
        <w:rStyle w:val="1072"/>
      </w:rPr>
      <w:instrText xml:space="preserve">PAGE  </w:instrText>
    </w:r>
    <w:r>
      <w:rPr>
        <w:rStyle w:val="1072"/>
      </w:rPr>
      <w:fldChar w:fldCharType="end"/>
    </w:r>
    <w:r>
      <w:rPr>
        <w:rStyle w:val="1072"/>
      </w:rPr>
    </w:r>
    <w:r>
      <w:rPr>
        <w:rStyle w:val="1072"/>
      </w:rPr>
    </w:r>
  </w:p>
  <w:p>
    <w:pPr>
      <w:pStyle w:val="107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79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</w:footnote>
  <w:footnote w:id="3">
    <w:p>
      <w:pPr>
        <w:pStyle w:val="1077"/>
        <w:jc w:val="both"/>
        <w:rPr>
          <w:sz w:val="18"/>
          <w:szCs w:val="18"/>
        </w:rPr>
      </w:pPr>
      <w:r>
        <w:rPr>
          <w:rStyle w:val="1079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</w:t>
      </w:r>
      <w:r>
        <w:rPr>
          <w:bCs/>
        </w:rPr>
        <w:t xml:space="preserve">Россети</w:t>
      </w:r>
      <w:r>
        <w:rPr>
          <w:bCs/>
        </w:rPr>
        <w:t xml:space="preserve">» (протокол заседания Правления ОАО «</w:t>
      </w:r>
      <w:r>
        <w:rPr>
          <w:bCs/>
        </w:rPr>
        <w:t xml:space="preserve">Россети</w:t>
      </w:r>
      <w:r>
        <w:rPr>
          <w:bCs/>
        </w:rPr>
        <w:t xml:space="preserve">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67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</w:t>
      </w:r>
      <w:r>
        <w:rPr>
          <w:bCs/>
        </w:rPr>
        <w:t xml:space="preserve">Россети</w:t>
      </w:r>
      <w:r>
        <w:rPr>
          <w:bCs/>
        </w:rPr>
        <w:t xml:space="preserve">», и размещается на официальном сайте ПАО «</w:t>
      </w:r>
      <w:r>
        <w:rPr>
          <w:bCs/>
        </w:rPr>
        <w:t xml:space="preserve">Россети</w:t>
      </w:r>
      <w:r>
        <w:rPr>
          <w:bCs/>
        </w:rPr>
        <w:t xml:space="preserve">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67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77"/>
        <w:jc w:val="both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77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color w:val="000000" w:themeColor="text1"/>
      </w:rPr>
    </w:lvl>
    <w:lvl w:ilvl="1">
      <w:start w:val="106"/>
      <w:numFmt w:val="decimal"/>
      <w:isLgl w:val="false"/>
      <w:suff w:val="tab"/>
      <w:lvlText w:val="%1.%2."/>
      <w:lvlJc w:val="left"/>
      <w:pPr>
        <w:ind w:left="600" w:hanging="600"/>
      </w:pPr>
      <w:rPr>
        <w:rFonts w:hint="default"/>
        <w:color w:val="000000" w:themeColor="text1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440" w:hanging="84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2040" w:hanging="840"/>
      </w:pPr>
      <w:rPr>
        <w:rFonts w:hint="default"/>
      </w:rPr>
    </w:lvl>
    <w:lvl w:ilvl="3">
      <w:start w:val="2"/>
      <w:numFmt w:val="decimal"/>
      <w:isLgl w:val="false"/>
      <w:suff w:val="tab"/>
      <w:lvlText w:val="%1.%2.%3.%4."/>
      <w:lvlJc w:val="left"/>
      <w:pPr>
        <w:ind w:left="2640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3" w:hanging="435"/>
      </w:pPr>
      <w:rPr>
        <w:rFonts w:ascii="Times New Roman" w:hAnsi="Times New Roman" w:eastAsia="Calibri" w:cs="Times New Roman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1712" w:hanging="43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77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553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26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33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2706" w:hanging="720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69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03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02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137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371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570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48" w:hanging="2160"/>
      </w:pPr>
      <w:rPr>
        <w:rFonts w:hint="default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020" w:hanging="660"/>
      </w:pPr>
      <w:rPr>
        <w:rFonts w:hint="default" w:eastAsia="Times New Roman"/>
        <w:i/>
      </w:rPr>
    </w:lvl>
    <w:lvl w:ilvl="2">
      <w:start w:val="7"/>
      <w:numFmt w:val="decimal"/>
      <w:isLgl/>
      <w:suff w:val="tab"/>
      <w:lvlText w:val="%1.%2.%3."/>
      <w:lvlJc w:val="left"/>
      <w:pPr>
        <w:ind w:left="1430" w:hanging="720"/>
      </w:pPr>
      <w:rPr>
        <w:rFonts w:hint="default" w:eastAsia="Times New Roman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eastAsia="Times New Roman"/>
        <w:i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eastAsia="Times New Roman"/>
        <w:i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eastAsia="Times New Roman"/>
        <w:i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eastAsia="Times New Roman"/>
        <w:i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eastAsia="Times New Roman"/>
        <w:i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eastAsia="Times New Roman"/>
        <w:i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1"/>
  </w:num>
  <w:num w:numId="4">
    <w:abstractNumId w:val="8"/>
  </w:num>
  <w:num w:numId="5">
    <w:abstractNumId w:val="24"/>
  </w:num>
  <w:num w:numId="6">
    <w:abstractNumId w:val="20"/>
  </w:num>
  <w:num w:numId="7">
    <w:abstractNumId w:val="16"/>
  </w:num>
  <w:num w:numId="8">
    <w:abstractNumId w:val="2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5"/>
  </w:num>
  <w:num w:numId="12">
    <w:abstractNumId w:val="19"/>
  </w:num>
  <w:num w:numId="13">
    <w:abstractNumId w:val="3"/>
  </w:num>
  <w:num w:numId="14">
    <w:abstractNumId w:val="5"/>
  </w:num>
  <w:num w:numId="15">
    <w:abstractNumId w:val="15"/>
  </w:num>
  <w:num w:numId="16">
    <w:abstractNumId w:val="23"/>
  </w:num>
  <w:num w:numId="17">
    <w:abstractNumId w:val="6"/>
  </w:num>
  <w:num w:numId="18">
    <w:abstractNumId w:val="22"/>
  </w:num>
  <w:num w:numId="19">
    <w:abstractNumId w:val="7"/>
  </w:num>
  <w:num w:numId="20">
    <w:abstractNumId w:val="26"/>
  </w:num>
  <w:num w:numId="21">
    <w:abstractNumId w:val="11"/>
  </w:num>
  <w:num w:numId="22">
    <w:abstractNumId w:val="12"/>
  </w:num>
  <w:num w:numId="23">
    <w:abstractNumId w:val="27"/>
  </w:num>
  <w:num w:numId="24">
    <w:abstractNumId w:val="18"/>
  </w:num>
  <w:num w:numId="25">
    <w:abstractNumId w:val="1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4"/>
  </w:num>
  <w:num w:numId="30">
    <w:abstractNumId w:val="9"/>
  </w:num>
  <w:num w:numId="31">
    <w:abstractNumId w:val="17"/>
  </w:num>
  <w:num w:numId="32">
    <w:abstractNumId w:val="29"/>
  </w:num>
  <w:num w:numId="33">
    <w:abstractNumId w:val="30"/>
  </w:num>
  <w:num w:numId="34">
    <w:abstractNumId w:val="31"/>
  </w:num>
  <w:num w:numId="35">
    <w:abstractNumId w:val="32"/>
  </w:num>
  <w:num w:numId="36">
    <w:abstractNumId w:val="33"/>
  </w:num>
  <w:num w:numId="37">
    <w:abstractNumId w:val="34"/>
  </w:num>
  <w:num w:numId="38">
    <w:abstractNumId w:val="35"/>
  </w:num>
  <w:num w:numId="39">
    <w:abstractNumId w:val="36"/>
  </w:num>
  <w:num w:numId="40">
    <w:abstractNumId w:val="37"/>
  </w:num>
  <w:num w:numId="41">
    <w:abstractNumId w:val="38"/>
  </w:num>
  <w:num w:numId="42">
    <w:abstractNumId w:val="39"/>
  </w:num>
  <w:num w:numId="43">
    <w:abstractNumId w:val="40"/>
  </w:num>
  <w:num w:numId="44">
    <w:abstractNumId w:val="41"/>
  </w:num>
  <w:num w:numId="45">
    <w:abstractNumId w:val="42"/>
  </w:num>
  <w:num w:numId="46">
    <w:abstractNumId w:val="43"/>
  </w:num>
  <w:num w:numId="47">
    <w:abstractNumId w:val="44"/>
  </w:num>
  <w:num w:numId="48">
    <w:abstractNumId w:val="45"/>
  </w:num>
  <w:num w:numId="49">
    <w:abstractNumId w:val="46"/>
  </w:num>
  <w:num w:numId="50">
    <w:abstractNumId w:val="47"/>
  </w:num>
  <w:num w:numId="51">
    <w:abstractNumId w:val="48"/>
  </w:num>
  <w:num w:numId="52">
    <w:abstractNumId w:val="49"/>
  </w:num>
  <w:num w:numId="53">
    <w:abstractNumId w:val="50"/>
  </w:num>
  <w:num w:numId="54">
    <w:abstractNumId w:val="51"/>
  </w:num>
  <w:num w:numId="55">
    <w:abstractNumId w:val="52"/>
  </w:num>
  <w:num w:numId="56">
    <w:abstractNumId w:val="53"/>
  </w:num>
  <w:num w:numId="57">
    <w:abstractNumId w:val="54"/>
  </w:num>
  <w:num w:numId="58">
    <w:abstractNumId w:val="55"/>
  </w:num>
  <w:num w:numId="59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5">
    <w:name w:val="Heading 1 Char"/>
    <w:basedOn w:val="1047"/>
    <w:link w:val="1043"/>
    <w:uiPriority w:val="9"/>
    <w:rPr>
      <w:rFonts w:ascii="Arial" w:hAnsi="Arial" w:eastAsia="Arial" w:cs="Arial"/>
      <w:sz w:val="40"/>
      <w:szCs w:val="40"/>
    </w:rPr>
  </w:style>
  <w:style w:type="character" w:styleId="876">
    <w:name w:val="Heading 2 Char"/>
    <w:basedOn w:val="1047"/>
    <w:link w:val="1044"/>
    <w:uiPriority w:val="9"/>
    <w:rPr>
      <w:rFonts w:ascii="Arial" w:hAnsi="Arial" w:eastAsia="Arial" w:cs="Arial"/>
      <w:sz w:val="34"/>
    </w:rPr>
  </w:style>
  <w:style w:type="character" w:styleId="877">
    <w:name w:val="Heading 3 Char"/>
    <w:basedOn w:val="1047"/>
    <w:link w:val="1045"/>
    <w:uiPriority w:val="9"/>
    <w:rPr>
      <w:rFonts w:ascii="Arial" w:hAnsi="Arial" w:eastAsia="Arial" w:cs="Arial"/>
      <w:sz w:val="30"/>
      <w:szCs w:val="30"/>
    </w:rPr>
  </w:style>
  <w:style w:type="paragraph" w:styleId="878">
    <w:name w:val="Heading 4"/>
    <w:basedOn w:val="1042"/>
    <w:next w:val="1042"/>
    <w:link w:val="8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9">
    <w:name w:val="Heading 4 Char"/>
    <w:basedOn w:val="1047"/>
    <w:link w:val="878"/>
    <w:uiPriority w:val="9"/>
    <w:rPr>
      <w:rFonts w:ascii="Arial" w:hAnsi="Arial" w:eastAsia="Arial" w:cs="Arial"/>
      <w:b/>
      <w:bCs/>
      <w:sz w:val="26"/>
      <w:szCs w:val="26"/>
    </w:rPr>
  </w:style>
  <w:style w:type="character" w:styleId="880">
    <w:name w:val="Heading 5 Char"/>
    <w:basedOn w:val="1047"/>
    <w:link w:val="1046"/>
    <w:uiPriority w:val="9"/>
    <w:rPr>
      <w:rFonts w:ascii="Arial" w:hAnsi="Arial" w:eastAsia="Arial" w:cs="Arial"/>
      <w:b/>
      <w:bCs/>
      <w:sz w:val="24"/>
      <w:szCs w:val="24"/>
    </w:rPr>
  </w:style>
  <w:style w:type="paragraph" w:styleId="881">
    <w:name w:val="Heading 6"/>
    <w:basedOn w:val="1042"/>
    <w:next w:val="1042"/>
    <w:link w:val="8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2">
    <w:name w:val="Heading 6 Char"/>
    <w:basedOn w:val="1047"/>
    <w:link w:val="881"/>
    <w:uiPriority w:val="9"/>
    <w:rPr>
      <w:rFonts w:ascii="Arial" w:hAnsi="Arial" w:eastAsia="Arial" w:cs="Arial"/>
      <w:b/>
      <w:bCs/>
      <w:sz w:val="22"/>
      <w:szCs w:val="22"/>
    </w:rPr>
  </w:style>
  <w:style w:type="paragraph" w:styleId="883">
    <w:name w:val="Heading 7"/>
    <w:basedOn w:val="1042"/>
    <w:next w:val="1042"/>
    <w:link w:val="8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4">
    <w:name w:val="Heading 7 Char"/>
    <w:basedOn w:val="1047"/>
    <w:link w:val="8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5">
    <w:name w:val="Heading 8"/>
    <w:basedOn w:val="1042"/>
    <w:next w:val="1042"/>
    <w:link w:val="8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6">
    <w:name w:val="Heading 8 Char"/>
    <w:basedOn w:val="1047"/>
    <w:link w:val="885"/>
    <w:uiPriority w:val="9"/>
    <w:rPr>
      <w:rFonts w:ascii="Arial" w:hAnsi="Arial" w:eastAsia="Arial" w:cs="Arial"/>
      <w:i/>
      <w:iCs/>
      <w:sz w:val="22"/>
      <w:szCs w:val="22"/>
    </w:rPr>
  </w:style>
  <w:style w:type="paragraph" w:styleId="887">
    <w:name w:val="Heading 9"/>
    <w:basedOn w:val="1042"/>
    <w:next w:val="1042"/>
    <w:link w:val="8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8">
    <w:name w:val="Heading 9 Char"/>
    <w:basedOn w:val="1047"/>
    <w:link w:val="887"/>
    <w:uiPriority w:val="9"/>
    <w:rPr>
      <w:rFonts w:ascii="Arial" w:hAnsi="Arial" w:eastAsia="Arial" w:cs="Arial"/>
      <w:i/>
      <w:iCs/>
      <w:sz w:val="21"/>
      <w:szCs w:val="21"/>
    </w:rPr>
  </w:style>
  <w:style w:type="character" w:styleId="889">
    <w:name w:val="Title Char"/>
    <w:basedOn w:val="1047"/>
    <w:link w:val="1054"/>
    <w:uiPriority w:val="10"/>
    <w:rPr>
      <w:sz w:val="48"/>
      <w:szCs w:val="48"/>
    </w:rPr>
  </w:style>
  <w:style w:type="paragraph" w:styleId="890">
    <w:name w:val="Subtitle"/>
    <w:basedOn w:val="1042"/>
    <w:next w:val="1042"/>
    <w:link w:val="891"/>
    <w:uiPriority w:val="11"/>
    <w:qFormat/>
    <w:pPr>
      <w:spacing w:before="200" w:after="200"/>
    </w:pPr>
    <w:rPr>
      <w:sz w:val="24"/>
      <w:szCs w:val="24"/>
    </w:rPr>
  </w:style>
  <w:style w:type="character" w:styleId="891">
    <w:name w:val="Subtitle Char"/>
    <w:basedOn w:val="1047"/>
    <w:link w:val="890"/>
    <w:uiPriority w:val="11"/>
    <w:rPr>
      <w:sz w:val="24"/>
      <w:szCs w:val="24"/>
    </w:rPr>
  </w:style>
  <w:style w:type="paragraph" w:styleId="892">
    <w:name w:val="Quote"/>
    <w:basedOn w:val="1042"/>
    <w:next w:val="1042"/>
    <w:link w:val="893"/>
    <w:uiPriority w:val="29"/>
    <w:qFormat/>
    <w:pPr>
      <w:ind w:left="720" w:right="720"/>
    </w:pPr>
    <w:rPr>
      <w:i/>
    </w:rPr>
  </w:style>
  <w:style w:type="character" w:styleId="893">
    <w:name w:val="Quote Char"/>
    <w:link w:val="892"/>
    <w:uiPriority w:val="29"/>
    <w:rPr>
      <w:i/>
    </w:rPr>
  </w:style>
  <w:style w:type="paragraph" w:styleId="894">
    <w:name w:val="Intense Quote"/>
    <w:basedOn w:val="1042"/>
    <w:next w:val="1042"/>
    <w:link w:val="8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5">
    <w:name w:val="Intense Quote Char"/>
    <w:link w:val="894"/>
    <w:uiPriority w:val="30"/>
    <w:rPr>
      <w:i/>
    </w:rPr>
  </w:style>
  <w:style w:type="paragraph" w:styleId="896">
    <w:name w:val="Header"/>
    <w:basedOn w:val="1042"/>
    <w:link w:val="8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97">
    <w:name w:val="Header Char"/>
    <w:basedOn w:val="1047"/>
    <w:link w:val="896"/>
    <w:uiPriority w:val="99"/>
  </w:style>
  <w:style w:type="character" w:styleId="898">
    <w:name w:val="Footer Char"/>
    <w:basedOn w:val="1047"/>
    <w:link w:val="1070"/>
    <w:uiPriority w:val="99"/>
  </w:style>
  <w:style w:type="paragraph" w:styleId="899">
    <w:name w:val="Caption"/>
    <w:basedOn w:val="1042"/>
    <w:next w:val="1042"/>
    <w:link w:val="9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0">
    <w:name w:val="Caption Char"/>
    <w:basedOn w:val="1047"/>
    <w:link w:val="899"/>
    <w:uiPriority w:val="35"/>
    <w:rPr>
      <w:b/>
      <w:bCs/>
      <w:color w:val="4f81bd" w:themeColor="accent1"/>
      <w:sz w:val="18"/>
      <w:szCs w:val="18"/>
    </w:rPr>
  </w:style>
  <w:style w:type="table" w:styleId="901">
    <w:name w:val="Table Grid"/>
    <w:basedOn w:val="104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2">
    <w:name w:val="Table Grid Light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3">
    <w:name w:val="Plain Table 1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4">
    <w:name w:val="Plain Table 2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5">
    <w:name w:val="Plain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6">
    <w:name w:val="Plain Table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Plain Table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8">
    <w:name w:val="Grid Table 1 Light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1 Light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1 Light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2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2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4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0">
    <w:name w:val="Grid Table 4 - Accent 1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1">
    <w:name w:val="Grid Table 4 - Accent 2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2">
    <w:name w:val="Grid Table 4 - Accent 3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3">
    <w:name w:val="Grid Table 4 - Accent 4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4">
    <w:name w:val="Grid Table 4 - Accent 5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5">
    <w:name w:val="Grid Table 4 - Accent 6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6">
    <w:name w:val="Grid Table 5 Dark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7">
    <w:name w:val="Grid Table 5 Dark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38">
    <w:name w:val="Grid Table 5 Dark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39">
    <w:name w:val="Grid Table 5 Dark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3">
    <w:name w:val="Grid Table 6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4">
    <w:name w:val="Grid Table 6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5">
    <w:name w:val="Grid Table 6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6">
    <w:name w:val="Grid Table 6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7">
    <w:name w:val="Grid Table 6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8">
    <w:name w:val="Grid Table 6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9">
    <w:name w:val="Grid Table 6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0">
    <w:name w:val="Grid Table 7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7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7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5">
    <w:name w:val="List Table 2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6">
    <w:name w:val="List Table 2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7">
    <w:name w:val="List Table 2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8">
    <w:name w:val="List Table 2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9">
    <w:name w:val="List Table 2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0">
    <w:name w:val="List Table 2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1">
    <w:name w:val="List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3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3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5 Dark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5 Dark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5 Dark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6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3">
    <w:name w:val="List Table 6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4">
    <w:name w:val="List Table 6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5">
    <w:name w:val="List Table 6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6">
    <w:name w:val="List Table 6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7">
    <w:name w:val="List Table 6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8">
    <w:name w:val="List Table 6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9">
    <w:name w:val="List Table 7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0">
    <w:name w:val="List Table 7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1">
    <w:name w:val="List Table 7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2">
    <w:name w:val="List Table 7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3">
    <w:name w:val="List Table 7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4">
    <w:name w:val="List Table 7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5">
    <w:name w:val="List Table 7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06">
    <w:name w:val="Lined - Accent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7">
    <w:name w:val="Lined - Accent 1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8">
    <w:name w:val="Lined - Accent 2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9">
    <w:name w:val="Lined - Accent 3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0">
    <w:name w:val="Lined - Accent 4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1">
    <w:name w:val="Lined - Accent 5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2">
    <w:name w:val="Lined - Accent 6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3">
    <w:name w:val="Bordered &amp; Lined - Accent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4">
    <w:name w:val="Bordered &amp; Lined - Accent 1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5">
    <w:name w:val="Bordered &amp; Lined - Accent 2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6">
    <w:name w:val="Bordered &amp; Lined - Accent 3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7">
    <w:name w:val="Bordered &amp; Lined - Accent 4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8">
    <w:name w:val="Bordered &amp; Lined - Accent 5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9">
    <w:name w:val="Bordered &amp; Lined - Accent 6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0">
    <w:name w:val="Bordered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1">
    <w:name w:val="Bordered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2">
    <w:name w:val="Bordered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3">
    <w:name w:val="Bordered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4">
    <w:name w:val="Bordered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5">
    <w:name w:val="Bordered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6">
    <w:name w:val="Bordered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7">
    <w:name w:val="Footnote Text Char"/>
    <w:link w:val="1077"/>
    <w:uiPriority w:val="99"/>
    <w:rPr>
      <w:sz w:val="18"/>
    </w:rPr>
  </w:style>
  <w:style w:type="paragraph" w:styleId="1028">
    <w:name w:val="endnote text"/>
    <w:basedOn w:val="1042"/>
    <w:link w:val="1029"/>
    <w:uiPriority w:val="99"/>
    <w:semiHidden/>
    <w:unhideWhenUsed/>
    <w:pPr>
      <w:spacing w:after="0" w:line="240" w:lineRule="auto"/>
    </w:pPr>
    <w:rPr>
      <w:sz w:val="20"/>
    </w:rPr>
  </w:style>
  <w:style w:type="character" w:styleId="1029">
    <w:name w:val="Endnote Text Char"/>
    <w:link w:val="1028"/>
    <w:uiPriority w:val="99"/>
    <w:rPr>
      <w:sz w:val="20"/>
    </w:rPr>
  </w:style>
  <w:style w:type="character" w:styleId="1030">
    <w:name w:val="endnote reference"/>
    <w:basedOn w:val="1047"/>
    <w:uiPriority w:val="99"/>
    <w:semiHidden/>
    <w:unhideWhenUsed/>
    <w:rPr>
      <w:vertAlign w:val="superscript"/>
    </w:rPr>
  </w:style>
  <w:style w:type="paragraph" w:styleId="1031">
    <w:name w:val="toc 1"/>
    <w:basedOn w:val="1042"/>
    <w:next w:val="1042"/>
    <w:uiPriority w:val="39"/>
    <w:unhideWhenUsed/>
    <w:pPr>
      <w:ind w:left="0" w:right="0" w:firstLine="0"/>
      <w:spacing w:after="57"/>
    </w:pPr>
  </w:style>
  <w:style w:type="paragraph" w:styleId="1032">
    <w:name w:val="toc 2"/>
    <w:basedOn w:val="1042"/>
    <w:next w:val="1042"/>
    <w:uiPriority w:val="39"/>
    <w:unhideWhenUsed/>
    <w:pPr>
      <w:ind w:left="283" w:right="0" w:firstLine="0"/>
      <w:spacing w:after="57"/>
    </w:pPr>
  </w:style>
  <w:style w:type="paragraph" w:styleId="1033">
    <w:name w:val="toc 3"/>
    <w:basedOn w:val="1042"/>
    <w:next w:val="1042"/>
    <w:uiPriority w:val="39"/>
    <w:unhideWhenUsed/>
    <w:pPr>
      <w:ind w:left="567" w:right="0" w:firstLine="0"/>
      <w:spacing w:after="57"/>
    </w:pPr>
  </w:style>
  <w:style w:type="paragraph" w:styleId="1034">
    <w:name w:val="toc 4"/>
    <w:basedOn w:val="1042"/>
    <w:next w:val="1042"/>
    <w:uiPriority w:val="39"/>
    <w:unhideWhenUsed/>
    <w:pPr>
      <w:ind w:left="850" w:right="0" w:firstLine="0"/>
      <w:spacing w:after="57"/>
    </w:pPr>
  </w:style>
  <w:style w:type="paragraph" w:styleId="1035">
    <w:name w:val="toc 5"/>
    <w:basedOn w:val="1042"/>
    <w:next w:val="1042"/>
    <w:uiPriority w:val="39"/>
    <w:unhideWhenUsed/>
    <w:pPr>
      <w:ind w:left="1134" w:right="0" w:firstLine="0"/>
      <w:spacing w:after="57"/>
    </w:pPr>
  </w:style>
  <w:style w:type="paragraph" w:styleId="1036">
    <w:name w:val="toc 6"/>
    <w:basedOn w:val="1042"/>
    <w:next w:val="1042"/>
    <w:uiPriority w:val="39"/>
    <w:unhideWhenUsed/>
    <w:pPr>
      <w:ind w:left="1417" w:right="0" w:firstLine="0"/>
      <w:spacing w:after="57"/>
    </w:pPr>
  </w:style>
  <w:style w:type="paragraph" w:styleId="1037">
    <w:name w:val="toc 7"/>
    <w:basedOn w:val="1042"/>
    <w:next w:val="1042"/>
    <w:uiPriority w:val="39"/>
    <w:unhideWhenUsed/>
    <w:pPr>
      <w:ind w:left="1701" w:right="0" w:firstLine="0"/>
      <w:spacing w:after="57"/>
    </w:pPr>
  </w:style>
  <w:style w:type="paragraph" w:styleId="1038">
    <w:name w:val="toc 8"/>
    <w:basedOn w:val="1042"/>
    <w:next w:val="1042"/>
    <w:uiPriority w:val="39"/>
    <w:unhideWhenUsed/>
    <w:pPr>
      <w:ind w:left="1984" w:right="0" w:firstLine="0"/>
      <w:spacing w:after="57"/>
    </w:pPr>
  </w:style>
  <w:style w:type="paragraph" w:styleId="1039">
    <w:name w:val="toc 9"/>
    <w:basedOn w:val="1042"/>
    <w:next w:val="1042"/>
    <w:uiPriority w:val="39"/>
    <w:unhideWhenUsed/>
    <w:pPr>
      <w:ind w:left="2268" w:right="0" w:firstLine="0"/>
      <w:spacing w:after="57"/>
    </w:pPr>
  </w:style>
  <w:style w:type="paragraph" w:styleId="1040">
    <w:name w:val="TOC Heading"/>
    <w:uiPriority w:val="39"/>
    <w:unhideWhenUsed/>
  </w:style>
  <w:style w:type="paragraph" w:styleId="1041">
    <w:name w:val="table of figures"/>
    <w:basedOn w:val="1042"/>
    <w:next w:val="1042"/>
    <w:uiPriority w:val="99"/>
    <w:unhideWhenUsed/>
    <w:pPr>
      <w:spacing w:after="0" w:afterAutospacing="0"/>
    </w:pPr>
  </w:style>
  <w:style w:type="paragraph" w:styleId="104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3">
    <w:name w:val="Heading 1"/>
    <w:basedOn w:val="1042"/>
    <w:next w:val="1042"/>
    <w:link w:val="1050"/>
    <w:qFormat/>
    <w:pPr>
      <w:jc w:val="center"/>
      <w:keepNext/>
      <w:outlineLvl w:val="0"/>
    </w:pPr>
    <w:rPr>
      <w:sz w:val="28"/>
    </w:rPr>
  </w:style>
  <w:style w:type="paragraph" w:styleId="1044">
    <w:name w:val="Heading 2"/>
    <w:basedOn w:val="1042"/>
    <w:next w:val="1042"/>
    <w:link w:val="1075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45">
    <w:name w:val="Heading 3"/>
    <w:basedOn w:val="1042"/>
    <w:next w:val="1042"/>
    <w:link w:val="1073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46">
    <w:name w:val="Heading 5"/>
    <w:basedOn w:val="1042"/>
    <w:next w:val="1042"/>
    <w:link w:val="1068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47" w:default="1">
    <w:name w:val="Default Paragraph Font"/>
    <w:uiPriority w:val="1"/>
    <w:semiHidden/>
    <w:unhideWhenUsed/>
  </w:style>
  <w:style w:type="table" w:styleId="10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9" w:default="1">
    <w:name w:val="No List"/>
    <w:uiPriority w:val="99"/>
    <w:semiHidden/>
    <w:unhideWhenUsed/>
  </w:style>
  <w:style w:type="character" w:styleId="1050" w:customStyle="1">
    <w:name w:val="Заголовок 1 Знак"/>
    <w:basedOn w:val="1047"/>
    <w:link w:val="1043"/>
    <w:rPr>
      <w:rFonts w:ascii="Times New Roman" w:hAnsi="Times New Roman" w:eastAsia="Times New Roman" w:cs="Times New Roman"/>
      <w:sz w:val="28"/>
      <w:szCs w:val="24"/>
    </w:rPr>
  </w:style>
  <w:style w:type="paragraph" w:styleId="1051">
    <w:name w:val="Body Text Indent"/>
    <w:basedOn w:val="1042"/>
    <w:link w:val="1052"/>
    <w:uiPriority w:val="99"/>
    <w:pPr>
      <w:ind w:left="1083" w:firstLine="537"/>
      <w:jc w:val="both"/>
      <w:tabs>
        <w:tab w:val="num" w:pos="0" w:leader="none"/>
      </w:tabs>
    </w:pPr>
  </w:style>
  <w:style w:type="character" w:styleId="1052" w:customStyle="1">
    <w:name w:val="Основной текст с отступом Знак"/>
    <w:basedOn w:val="1047"/>
    <w:link w:val="1051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53">
    <w:name w:val="Normal (Web)"/>
    <w:basedOn w:val="1042"/>
    <w:uiPriority w:val="99"/>
    <w:pPr>
      <w:spacing w:before="100" w:beforeAutospacing="1" w:after="100" w:afterAutospacing="1"/>
    </w:pPr>
  </w:style>
  <w:style w:type="paragraph" w:styleId="1054">
    <w:name w:val="Title"/>
    <w:basedOn w:val="1042"/>
    <w:link w:val="1055"/>
    <w:uiPriority w:val="10"/>
    <w:qFormat/>
    <w:pPr>
      <w:jc w:val="center"/>
    </w:pPr>
    <w:rPr>
      <w:sz w:val="28"/>
    </w:rPr>
  </w:style>
  <w:style w:type="character" w:styleId="1055" w:customStyle="1">
    <w:name w:val="Заголовок Знак"/>
    <w:basedOn w:val="1047"/>
    <w:link w:val="1054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56" w:customStyle="1">
    <w:name w:val="Подподпункт"/>
    <w:basedOn w:val="1042"/>
  </w:style>
  <w:style w:type="paragraph" w:styleId="1057">
    <w:name w:val="Plain Text"/>
    <w:basedOn w:val="1042"/>
    <w:link w:val="1058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58" w:customStyle="1">
    <w:name w:val="Текст Знак"/>
    <w:basedOn w:val="1047"/>
    <w:link w:val="1057"/>
    <w:uiPriority w:val="99"/>
    <w:rPr>
      <w:rFonts w:ascii="Consolas" w:hAnsi="Consolas" w:eastAsia="Calibri" w:cs="Times New Roman"/>
      <w:sz w:val="21"/>
      <w:szCs w:val="21"/>
    </w:rPr>
  </w:style>
  <w:style w:type="character" w:styleId="1059">
    <w:name w:val="annotation reference"/>
    <w:uiPriority w:val="99"/>
    <w:rPr>
      <w:sz w:val="16"/>
      <w:szCs w:val="16"/>
    </w:rPr>
  </w:style>
  <w:style w:type="paragraph" w:styleId="1060">
    <w:name w:val="annotation text"/>
    <w:basedOn w:val="1042"/>
    <w:link w:val="1061"/>
    <w:uiPriority w:val="99"/>
    <w:rPr>
      <w:sz w:val="20"/>
      <w:szCs w:val="20"/>
    </w:rPr>
  </w:style>
  <w:style w:type="character" w:styleId="1061" w:customStyle="1">
    <w:name w:val="Текст примечания Знак"/>
    <w:basedOn w:val="1047"/>
    <w:link w:val="106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2">
    <w:name w:val="Balloon Text"/>
    <w:basedOn w:val="1042"/>
    <w:link w:val="1063"/>
    <w:uiPriority w:val="99"/>
    <w:semiHidden/>
    <w:unhideWhenUsed/>
    <w:rPr>
      <w:rFonts w:ascii="Tahoma" w:hAnsi="Tahoma" w:cs="Tahoma"/>
      <w:sz w:val="16"/>
      <w:szCs w:val="16"/>
    </w:rPr>
  </w:style>
  <w:style w:type="character" w:styleId="1063" w:customStyle="1">
    <w:name w:val="Текст выноски Знак"/>
    <w:basedOn w:val="1047"/>
    <w:link w:val="106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64">
    <w:name w:val="annotation subject"/>
    <w:basedOn w:val="1060"/>
    <w:next w:val="1060"/>
    <w:link w:val="1065"/>
    <w:uiPriority w:val="99"/>
    <w:semiHidden/>
    <w:unhideWhenUsed/>
    <w:rPr>
      <w:b/>
      <w:bCs/>
    </w:rPr>
  </w:style>
  <w:style w:type="character" w:styleId="1065" w:customStyle="1">
    <w:name w:val="Тема примечания Знак"/>
    <w:basedOn w:val="1061"/>
    <w:link w:val="106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66">
    <w:name w:val="List Paragraph"/>
    <w:basedOn w:val="1042"/>
    <w:link w:val="1074"/>
    <w:uiPriority w:val="34"/>
    <w:qFormat/>
    <w:pPr>
      <w:contextualSpacing/>
      <w:ind w:left="720"/>
    </w:pPr>
  </w:style>
  <w:style w:type="character" w:styleId="1067">
    <w:name w:val="Hyperlink"/>
    <w:basedOn w:val="1047"/>
    <w:uiPriority w:val="99"/>
    <w:unhideWhenUsed/>
    <w:rPr>
      <w:color w:val="0000ff"/>
      <w:u w:val="single"/>
    </w:rPr>
  </w:style>
  <w:style w:type="character" w:styleId="1068" w:customStyle="1">
    <w:name w:val="Заголовок 5 Знак"/>
    <w:basedOn w:val="1047"/>
    <w:link w:val="1046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69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0">
    <w:name w:val="Footer"/>
    <w:basedOn w:val="1042"/>
    <w:link w:val="1071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71" w:customStyle="1">
    <w:name w:val="Нижний колонтитул Знак"/>
    <w:basedOn w:val="1047"/>
    <w:link w:val="1070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72">
    <w:name w:val="page number"/>
    <w:basedOn w:val="1047"/>
  </w:style>
  <w:style w:type="character" w:styleId="1073" w:customStyle="1">
    <w:name w:val="Заголовок 3 Знак"/>
    <w:basedOn w:val="1047"/>
    <w:link w:val="1045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74" w:customStyle="1">
    <w:name w:val="Абзац списка Знак"/>
    <w:basedOn w:val="1047"/>
    <w:link w:val="1066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75" w:customStyle="1">
    <w:name w:val="Заголовок 2 Знак"/>
    <w:basedOn w:val="1047"/>
    <w:link w:val="1044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7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77">
    <w:name w:val="footnote text"/>
    <w:basedOn w:val="1042"/>
    <w:link w:val="1078"/>
    <w:uiPriority w:val="99"/>
    <w:unhideWhenUsed/>
    <w:rPr>
      <w:sz w:val="20"/>
      <w:szCs w:val="20"/>
    </w:rPr>
  </w:style>
  <w:style w:type="character" w:styleId="1078" w:customStyle="1">
    <w:name w:val="Текст сноски Знак"/>
    <w:basedOn w:val="1047"/>
    <w:link w:val="107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79">
    <w:name w:val="footnote reference"/>
    <w:basedOn w:val="1047"/>
    <w:uiPriority w:val="99"/>
    <w:unhideWhenUsed/>
    <w:rPr>
      <w:vertAlign w:val="superscript"/>
    </w:rPr>
  </w:style>
  <w:style w:type="paragraph" w:styleId="1080" w:customStyle="1">
    <w:name w:val="1-з"/>
    <w:qFormat/>
    <w:pPr>
      <w:numPr>
        <w:ilvl w:val="0"/>
        <w:numId w:val="0"/>
      </w:numPr>
      <w:contextualSpacing w:val="0"/>
      <w:ind w:left="360" w:right="0" w:hanging="360"/>
      <w:jc w:val="center"/>
      <w:keepLines w:val="0"/>
      <w:keepNext w:val="0"/>
      <w:pageBreakBefore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81" w:customStyle="1">
    <w:name w:val="2-з"/>
    <w:basedOn w:val="1042"/>
    <w:qFormat/>
    <w:pPr>
      <w:numPr>
        <w:ilvl w:val="1"/>
        <w:numId w:val="0"/>
      </w:num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12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82" w:customStyle="1">
    <w:name w:val="3-з"/>
    <w:qFormat/>
    <w:pPr>
      <w:numPr>
        <w:ilvl w:val="2"/>
        <w:numId w:val="0"/>
      </w:numPr>
      <w:contextualSpacing w:val="0"/>
      <w:ind w:left="1135" w:right="0" w:hanging="567"/>
      <w:jc w:val="both"/>
      <w:keepLines w:val="0"/>
      <w:keepNext w:val="0"/>
      <w:pageBreakBefore w:val="0"/>
      <w:spacing w:before="12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14D74-33E8-410B-8A1E-6636E27C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Kasatkina-VS</cp:lastModifiedBy>
  <cp:revision>52</cp:revision>
  <dcterms:created xsi:type="dcterms:W3CDTF">2025-07-29T06:56:00Z</dcterms:created>
  <dcterms:modified xsi:type="dcterms:W3CDTF">2026-08-20T12:00:25Z</dcterms:modified>
</cp:coreProperties>
</file>